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001-36515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43"/>
          <w:szCs w:val="43"/>
          <w:b w:val="1"/>
          <w:bCs w:val="1"/>
          <w:color w:val="auto"/>
        </w:rPr>
        <w:t>Materialise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Technologielaan 15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3001 Leuven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Belgium</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Attached as Exhibit 99.1 hereto is a copy of a press release regarding Materialise NV’s ADS Buyback Program.</w:t>
      </w:r>
    </w:p>
    <w:p>
      <w:pPr>
        <w:spacing w:after="0" w:line="23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2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April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MATERIALISE NV</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Brigitte de Vet-Veithen</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Brigitte de Vet-Veithen</w:t>
            </w:r>
          </w:p>
        </w:tc>
      </w:tr>
      <w:tr>
        <w:trPr>
          <w:trHeight w:val="395"/>
        </w:trPr>
        <w:tc>
          <w:tcPr>
            <w:tcW w:w="58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De Vet Management BV</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5214620</wp:posOffset>
            </wp:positionH>
            <wp:positionV relativeFrom="page">
              <wp:posOffset>243205</wp:posOffset>
            </wp:positionV>
            <wp:extent cx="2125980" cy="8312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125980" cy="831215"/>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MATERIALISE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SHARE-BUY BACK PROGRAM</w:t>
      </w:r>
    </w:p>
    <w:p>
      <w:pPr>
        <w:spacing w:after="0" w:line="9" w:lineRule="exact"/>
        <w:rPr>
          <w:sz w:val="20"/>
          <w:szCs w:val="20"/>
          <w:color w:val="auto"/>
        </w:rPr>
      </w:pPr>
    </w:p>
    <w:p>
      <w:pPr>
        <w:spacing w:after="0"/>
        <w:tabs>
          <w:tab w:leader="none" w:pos="7860" w:val="left"/>
        </w:tabs>
        <w:rPr>
          <w:sz w:val="20"/>
          <w:szCs w:val="20"/>
          <w:color w:val="auto"/>
        </w:rPr>
      </w:pPr>
      <w:r>
        <w:rPr>
          <w:rFonts w:ascii="Times New Roman" w:cs="Times New Roman" w:eastAsia="Times New Roman" w:hAnsi="Times New Roman"/>
          <w:sz w:val="18"/>
          <w:szCs w:val="18"/>
          <w:b w:val="1"/>
          <w:bCs w:val="1"/>
          <w:color w:val="auto"/>
        </w:rPr>
        <w:t>Leuven – 27 April 2026 – 22h00 CET</w:t>
      </w:r>
      <w:r>
        <w:rPr>
          <w:sz w:val="20"/>
          <w:szCs w:val="20"/>
          <w:color w:val="auto"/>
        </w:rPr>
        <w:tab/>
      </w:r>
      <w:r>
        <w:rPr>
          <w:rFonts w:ascii="Times New Roman" w:cs="Times New Roman" w:eastAsia="Times New Roman" w:hAnsi="Times New Roman"/>
          <w:sz w:val="27"/>
          <w:szCs w:val="27"/>
          <w:b w:val="1"/>
          <w:bCs w:val="1"/>
          <w:color w:val="auto"/>
          <w:vertAlign w:val="subscript"/>
        </w:rPr>
        <w:t>Regulated information</w:t>
      </w:r>
      <w:r>
        <w:rPr>
          <w:rFonts w:ascii="Times New Roman" w:cs="Times New Roman" w:eastAsia="Times New Roman" w:hAnsi="Times New Roman"/>
          <w:sz w:val="22"/>
          <w:szCs w:val="22"/>
          <w:b w:val="1"/>
          <w:bCs w:val="1"/>
          <w:color w:val="auto"/>
          <w:vertAlign w:val="superscript"/>
        </w:rPr>
        <w:t>1</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Materialise reports on the progress of its share buy-back program announced on 30 October 2025.</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27 April 2026 </w:t>
      </w:r>
      <w:r>
        <w:rPr>
          <w:rFonts w:ascii="Times New Roman" w:cs="Times New Roman" w:eastAsia="Times New Roman" w:hAnsi="Times New Roman"/>
          <w:sz w:val="18"/>
          <w:szCs w:val="18"/>
          <w:color w:val="auto"/>
        </w:rPr>
        <w:t>– Materialise NV (Euronext: MTLS) (Nasdaq: MTLS) (“Materialise”) (“the Company”) hereby discloses certain information in relation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share buyback program announced on 30 October 2025, in accordance with Article 8:4 of the Royal Decree of 29 April 2019 implementing the Belgian Code on Companies and Associations. Under this program, Materialise has granted a discretionary mandate to an independent financial intermediary to repurchase Materialise shares for an amount of up to EUR 30 million.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Materialise reports the purchase of 25,004 Materialise shares in the period from 20 April 2026 up to and including 24 April 2026. The shares were repurchased at an average price of 4.56 EUR per share for a total consideration of 114,106 EUR.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25,004 shares were repurchased through the central order book of the following exchanges: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46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4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6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repurchase</w:t>
            </w:r>
          </w:p>
        </w:tc>
        <w:tc>
          <w:tcPr>
            <w:tcW w:w="160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14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4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(EUR)</w:t>
            </w:r>
          </w:p>
        </w:tc>
        <w:tc>
          <w:tcPr>
            <w:tcW w:w="14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price (EUR)</w:t>
            </w:r>
          </w:p>
        </w:tc>
      </w:tr>
      <w:tr>
        <w:trPr>
          <w:trHeight w:val="223"/>
        </w:trPr>
        <w:tc>
          <w:tcPr>
            <w:tcW w:w="3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20-Apr-2026</w:t>
            </w:r>
          </w:p>
        </w:tc>
        <w:tc>
          <w:tcPr>
            <w:tcW w:w="14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NASDAQ</w:t>
            </w: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6,789</w:t>
            </w: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31,352</w:t>
            </w: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36,870</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80" w:type="dxa"/>
            <w:vAlign w:val="bottom"/>
            <w:tcBorders>
              <w:top w:val="single" w:sz="8" w:color="CCEEFF"/>
            </w:tcBorders>
            <w:shd w:val="clear" w:color="auto" w:fill="CCEEFF"/>
          </w:tcPr>
          <w:p>
            <w:pPr>
              <w:spacing w:after="0"/>
              <w:rPr>
                <w:sz w:val="19"/>
                <w:szCs w:val="19"/>
                <w:color w:val="auto"/>
              </w:rPr>
            </w:pPr>
          </w:p>
        </w:tc>
      </w:tr>
      <w:tr>
        <w:trPr>
          <w:trHeight w:val="230"/>
        </w:trPr>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21-Apr-2026</w:t>
            </w:r>
          </w:p>
        </w:tc>
        <w:tc>
          <w:tcPr>
            <w:tcW w:w="1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NASDAQ</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3,366</w:t>
            </w: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15,474</w:t>
            </w: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18,209</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tcPr>
          <w:p>
            <w:pPr>
              <w:spacing w:after="0"/>
              <w:rPr>
                <w:sz w:val="19"/>
                <w:szCs w:val="19"/>
                <w:color w:val="auto"/>
              </w:rPr>
            </w:pPr>
          </w:p>
        </w:tc>
      </w:tr>
      <w:tr>
        <w:trPr>
          <w:trHeight w:val="230"/>
        </w:trPr>
        <w:tc>
          <w:tcPr>
            <w:tcW w:w="4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22-Apr-2026</w:t>
            </w:r>
          </w:p>
        </w:tc>
        <w:tc>
          <w:tcPr>
            <w:tcW w:w="16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NASDAQ</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6,409</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29,715</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34,864</w:t>
            </w:r>
          </w:p>
        </w:tc>
        <w:tc>
          <w:tcPr>
            <w:tcW w:w="120" w:type="dxa"/>
            <w:vAlign w:val="bottom"/>
            <w:shd w:val="clear" w:color="auto" w:fill="CCEEFF"/>
          </w:tcPr>
          <w:p>
            <w:pPr>
              <w:spacing w:after="0"/>
              <w:rPr>
                <w:sz w:val="19"/>
                <w:szCs w:val="19"/>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80" w:type="dxa"/>
            <w:vAlign w:val="bottom"/>
            <w:shd w:val="clear" w:color="auto" w:fill="CCEEFF"/>
          </w:tcPr>
          <w:p>
            <w:pPr>
              <w:spacing w:after="0"/>
              <w:rPr>
                <w:sz w:val="19"/>
                <w:szCs w:val="19"/>
                <w:color w:val="auto"/>
              </w:rPr>
            </w:pPr>
          </w:p>
        </w:tc>
      </w:tr>
      <w:tr>
        <w:trPr>
          <w:trHeight w:val="230"/>
        </w:trPr>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23-Apr-2026</w:t>
            </w:r>
          </w:p>
        </w:tc>
        <w:tc>
          <w:tcPr>
            <w:tcW w:w="1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NASDAQ</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5,136</w:t>
            </w: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22,924</w:t>
            </w: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26,807</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tcPr>
          <w:p>
            <w:pPr>
              <w:spacing w:after="0"/>
              <w:rPr>
                <w:sz w:val="19"/>
                <w:szCs w:val="19"/>
                <w:color w:val="auto"/>
              </w:rPr>
            </w:pPr>
          </w:p>
        </w:tc>
      </w:tr>
      <w:tr>
        <w:trPr>
          <w:trHeight w:val="229"/>
        </w:trPr>
        <w:tc>
          <w:tcPr>
            <w:tcW w:w="4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24-Apr-2026</w:t>
            </w:r>
          </w:p>
        </w:tc>
        <w:tc>
          <w:tcPr>
            <w:tcW w:w="16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NASDAQ</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3,304</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14,640</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17,147</w:t>
            </w:r>
          </w:p>
        </w:tc>
        <w:tc>
          <w:tcPr>
            <w:tcW w:w="120" w:type="dxa"/>
            <w:vAlign w:val="bottom"/>
            <w:shd w:val="clear" w:color="auto" w:fill="CCEEFF"/>
          </w:tcPr>
          <w:p>
            <w:pPr>
              <w:spacing w:after="0"/>
              <w:rPr>
                <w:sz w:val="19"/>
                <w:szCs w:val="19"/>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80" w:type="dxa"/>
            <w:vAlign w:val="bottom"/>
            <w:shd w:val="clear" w:color="auto" w:fill="CCEEFF"/>
          </w:tcPr>
          <w:p>
            <w:pPr>
              <w:spacing w:after="0"/>
              <w:rPr>
                <w:sz w:val="19"/>
                <w:szCs w:val="19"/>
                <w:color w:val="auto"/>
              </w:rPr>
            </w:pPr>
          </w:p>
        </w:tc>
      </w:tr>
      <w:tr>
        <w:trPr>
          <w:trHeight w:val="230"/>
        </w:trPr>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Total of the week</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25,004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114,106</w:t>
            </w: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133,898</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4.56</w:t>
            </w:r>
          </w:p>
        </w:tc>
        <w:tc>
          <w:tcPr>
            <w:tcW w:w="80" w:type="dxa"/>
            <w:vAlign w:val="bottom"/>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shares were repurchased through cross trades or block trades.</w:t>
      </w:r>
    </w:p>
    <w:p>
      <w:pPr>
        <w:spacing w:after="0" w:line="22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Since the start of the share buy-back program on the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January 2026, Materialise has bought back 601,587 shares for a total amount of 2,707,962 EUR (3,189,210 USD) under the share buy-back program. This corresponds to 1% of the total shares outstanding.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Materialise currently holds 601,587 of its own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overview relating to the share buy-back program is available on </w:t>
      </w:r>
      <w:r>
        <w:rPr>
          <w:rFonts w:ascii="Times New Roman" w:cs="Times New Roman" w:eastAsia="Times New Roman" w:hAnsi="Times New Roman"/>
          <w:sz w:val="18"/>
          <w:szCs w:val="18"/>
          <w:u w:val="single" w:color="auto"/>
          <w:color w:val="auto"/>
        </w:rPr>
        <w:t>https://investors.materialise.com/</w:t>
      </w:r>
      <w:r>
        <w:rPr>
          <w:rFonts w:ascii="Times New Roman" w:cs="Times New Roman" w:eastAsia="Times New Roman" w:hAnsi="Times New Roman"/>
          <w:sz w:val="18"/>
          <w:szCs w:val="18"/>
          <w:color w:val="auto"/>
        </w:rPr>
        <w:t xml:space="preserve"> and will be updated on a weekly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0" w:lineRule="exact"/>
        <w:rPr>
          <w:sz w:val="20"/>
          <w:szCs w:val="20"/>
          <w:color w:val="auto"/>
        </w:rPr>
      </w:pPr>
    </w:p>
    <w:p>
      <w:pPr>
        <w:ind w:left="320" w:hanging="312"/>
        <w:spacing w:after="0" w:line="195" w:lineRule="auto"/>
        <w:tabs>
          <w:tab w:leader="none" w:pos="32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enclosed information constitutes regulated information as defined in the Belgian Royal Decree of 14 November 2007 regarding the duties of issuers of financial instruments which have been admitted for trading on a regulated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5188585</wp:posOffset>
            </wp:positionH>
            <wp:positionV relativeFrom="page">
              <wp:posOffset>586105</wp:posOffset>
            </wp:positionV>
            <wp:extent cx="2125980" cy="8312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12598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Materialise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Materialise incorporates more than three decades of 3D printing experience into a range of software solutions and 3D printing services that empower sustainable 3D printing applications. Our open, secure, and flexible end-to-end solutions enable industrial manufacturing and mass personalization in various industries — including healthcare, automotive, aerospace, eyewear, art and design, wearables, and consumer goods. Headquartered in Belgium and with branches worldwide, Materialise combines the largest group of software developers in the industry with one of the world's largest and most complete 3D printing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2026-04-27T15:09:14Z</dcterms:created>
  <dcterms:modified xsi:type="dcterms:W3CDTF">2026-04-27T15:09:14Z</dcterms:modified>
</cp:coreProperties>
</file>