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001-36515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43"/>
          <w:szCs w:val="43"/>
          <w:b w:val="1"/>
          <w:bCs w:val="1"/>
          <w:color w:val="auto"/>
        </w:rPr>
        <w:t>Materialise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Technologielaan 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3001 Leuven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Belgium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2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Attached as Exhibit 99.1 hereto is a copy of a press release regarding Materialise NV’s ADS Buyback Program.</w:t>
      </w:r>
    </w:p>
    <w:p>
      <w:pPr>
        <w:spacing w:after="0" w:line="2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NV</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Brigitte de Vet-Veithen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Brigitte de Vet-Veithen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 Vet Management BV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167640</wp:posOffset>
            </wp:positionV>
            <wp:extent cx="1842770" cy="711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4277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MATERIALISE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SHARE-BUY BACK PROGRAM</w:t>
      </w:r>
    </w:p>
    <w:p>
      <w:pPr>
        <w:spacing w:after="0" w:line="206" w:lineRule="exact"/>
        <w:rPr>
          <w:sz w:val="20"/>
          <w:szCs w:val="20"/>
          <w:color w:val="auto"/>
        </w:rPr>
      </w:pPr>
    </w:p>
    <w:p>
      <w:pPr>
        <w:spacing w:after="0"/>
        <w:tabs>
          <w:tab w:leader="none" w:pos="7560" w:val="left"/>
        </w:tabs>
        <w:rPr>
          <w:sz w:val="20"/>
          <w:szCs w:val="20"/>
          <w:color w:val="auto"/>
        </w:rPr>
      </w:pPr>
      <w:r>
        <w:rPr>
          <w:rFonts w:ascii="Times New Roman" w:cs="Times New Roman" w:eastAsia="Times New Roman" w:hAnsi="Times New Roman"/>
          <w:sz w:val="18"/>
          <w:szCs w:val="18"/>
          <w:b w:val="1"/>
          <w:bCs w:val="1"/>
          <w:color w:val="auto"/>
        </w:rPr>
        <w:t>Leuven – 29 June 2026 – 22h00 CET</w:t>
      </w:r>
      <w:r>
        <w:rPr>
          <w:sz w:val="20"/>
          <w:szCs w:val="20"/>
          <w:color w:val="auto"/>
        </w:rPr>
        <w:tab/>
      </w:r>
      <w:r>
        <w:rPr>
          <w:rFonts w:ascii="Times New Roman" w:cs="Times New Roman" w:eastAsia="Times New Roman" w:hAnsi="Times New Roman"/>
          <w:sz w:val="17"/>
          <w:szCs w:val="17"/>
          <w:b w:val="1"/>
          <w:bCs w:val="1"/>
          <w:color w:val="auto"/>
        </w:rPr>
        <w:t>Regulated information</w:t>
      </w:r>
      <w:r>
        <w:rPr>
          <w:rFonts w:ascii="Times New Roman" w:cs="Times New Roman" w:eastAsia="Times New Roman" w:hAnsi="Times New Roman"/>
          <w:sz w:val="28"/>
          <w:szCs w:val="28"/>
          <w:b w:val="1"/>
          <w:bCs w:val="1"/>
          <w:color w:val="auto"/>
          <w:vertAlign w:val="superscript"/>
        </w:rPr>
        <w:t>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reports on the progress of its share buy-back program announced on 30 October 2025.</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29 June 2026 </w:t>
      </w:r>
      <w:r>
        <w:rPr>
          <w:rFonts w:ascii="Times New Roman" w:cs="Times New Roman" w:eastAsia="Times New Roman" w:hAnsi="Times New Roman"/>
          <w:sz w:val="18"/>
          <w:szCs w:val="18"/>
          <w:color w:val="auto"/>
        </w:rPr>
        <w:t>– Materialise NV (Euronext: MTLS) (Nasdaq: MTLS) (“Materialise”) (“the Company”) hereby discloses certain information in relation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Materialise reports the purchase of 72,733 Materialise shares in the period from 22 June 2026 up to and including 26 June 2026. The shares were repurchased at an average price of 5.91 EUR per share for a total consideration of 430,128 EUR.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72,733 shares were repurchased through the central order book of the following exchanges: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2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362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repurchase</w:t>
            </w: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6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(EUR)</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price (EUR)</w:t>
            </w:r>
          </w:p>
        </w:tc>
      </w:tr>
      <w:tr>
        <w:trPr>
          <w:trHeight w:val="223"/>
        </w:trPr>
        <w:tc>
          <w:tcPr>
            <w:tcW w:w="33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22-Jun-2026</w:t>
            </w:r>
          </w:p>
        </w:tc>
        <w:tc>
          <w:tcPr>
            <w:tcW w:w="2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NASDAQ</w:t>
            </w:r>
          </w:p>
        </w:tc>
        <w:tc>
          <w:tcPr>
            <w:tcW w:w="2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2"/>
              </w:rPr>
              <w:t>11,367</w:t>
            </w:r>
          </w:p>
        </w:tc>
        <w:tc>
          <w:tcPr>
            <w:tcW w:w="36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64,948</w:t>
            </w:r>
          </w:p>
        </w:tc>
        <w:tc>
          <w:tcPr>
            <w:tcW w:w="3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74,405</w:t>
            </w:r>
          </w:p>
        </w:tc>
        <w:tc>
          <w:tcPr>
            <w:tcW w:w="3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30"/>
        </w:trPr>
        <w:tc>
          <w:tcPr>
            <w:tcW w:w="3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23-Jun-2026</w:t>
            </w:r>
          </w:p>
        </w:tc>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NASDAQ</w:t>
            </w:r>
          </w:p>
        </w:tc>
        <w:tc>
          <w:tcPr>
            <w:tcW w:w="16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11,748</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67,669</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77,088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Pr>
          <w:p>
            <w:pPr>
              <w:spacing w:after="0"/>
              <w:rPr>
                <w:sz w:val="19"/>
                <w:szCs w:val="19"/>
                <w:color w:val="auto"/>
              </w:rPr>
            </w:pPr>
          </w:p>
        </w:tc>
      </w:tr>
      <w:tr>
        <w:trPr>
          <w:trHeight w:val="229"/>
        </w:trPr>
        <w:tc>
          <w:tcPr>
            <w:tcW w:w="36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24-Jun-2026</w:t>
            </w:r>
          </w:p>
        </w:tc>
        <w:tc>
          <w:tcPr>
            <w:tcW w:w="1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NASDAQ</w:t>
            </w:r>
          </w:p>
        </w:tc>
        <w:tc>
          <w:tcPr>
            <w:tcW w:w="16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23,107</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138,487</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157,044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shd w:val="clear" w:color="auto" w:fill="CCEEFF"/>
          </w:tcPr>
          <w:p>
            <w:pPr>
              <w:spacing w:after="0"/>
              <w:rPr>
                <w:sz w:val="19"/>
                <w:szCs w:val="19"/>
                <w:color w:val="auto"/>
              </w:rPr>
            </w:pPr>
          </w:p>
        </w:tc>
      </w:tr>
      <w:tr>
        <w:trPr>
          <w:trHeight w:val="230"/>
        </w:trPr>
        <w:tc>
          <w:tcPr>
            <w:tcW w:w="3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25-Jun-2026</w:t>
            </w:r>
          </w:p>
        </w:tc>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NASDAQ</w:t>
            </w:r>
          </w:p>
        </w:tc>
        <w:tc>
          <w:tcPr>
            <w:tcW w:w="16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19,911</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119,166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135,158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Pr>
          <w:p>
            <w:pPr>
              <w:spacing w:after="0"/>
              <w:rPr>
                <w:sz w:val="19"/>
                <w:szCs w:val="19"/>
                <w:color w:val="auto"/>
              </w:rPr>
            </w:pPr>
          </w:p>
        </w:tc>
      </w:tr>
      <w:tr>
        <w:trPr>
          <w:trHeight w:val="230"/>
        </w:trPr>
        <w:tc>
          <w:tcPr>
            <w:tcW w:w="36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26-Jun-2026</w:t>
            </w:r>
          </w:p>
        </w:tc>
        <w:tc>
          <w:tcPr>
            <w:tcW w:w="1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NASDAQ</w:t>
            </w:r>
          </w:p>
        </w:tc>
        <w:tc>
          <w:tcPr>
            <w:tcW w:w="16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6,600</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39,858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45,442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shd w:val="clear" w:color="auto" w:fill="CCEEFF"/>
          </w:tcPr>
          <w:p>
            <w:pPr>
              <w:spacing w:after="0"/>
              <w:rPr>
                <w:sz w:val="19"/>
                <w:szCs w:val="19"/>
                <w:color w:val="auto"/>
              </w:rPr>
            </w:pPr>
          </w:p>
        </w:tc>
      </w:tr>
      <w:tr>
        <w:trPr>
          <w:trHeight w:val="210"/>
        </w:trPr>
        <w:tc>
          <w:tcPr>
            <w:tcW w:w="362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Total of the week</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w w:val="92"/>
              </w:rPr>
              <w:t>72,733</w:t>
            </w:r>
          </w:p>
        </w:tc>
        <w:tc>
          <w:tcPr>
            <w:tcW w:w="3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430,128</w:t>
            </w:r>
          </w:p>
        </w:tc>
        <w:tc>
          <w:tcPr>
            <w:tcW w:w="3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489,138</w:t>
            </w:r>
          </w:p>
        </w:tc>
        <w:tc>
          <w:tcPr>
            <w:tcW w:w="3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were repurchased through cross trades or block trades.</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Since the start of the share buy-back program on the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January 2026, Materialise has bought back 1,070,597 shares for a total amount of 5,210,264 EUR (6,090,074 USD) under the share buy-back program. This corresponds to 1.8% of the total shares outstanding.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currently holds 1,070,597 of its own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overview relating to the share buy-back program is available on </w:t>
      </w:r>
      <w:r>
        <w:rPr>
          <w:rFonts w:ascii="Times New Roman" w:cs="Times New Roman" w:eastAsia="Times New Roman" w:hAnsi="Times New Roman"/>
          <w:sz w:val="18"/>
          <w:szCs w:val="18"/>
          <w:u w:val="single" w:color="auto"/>
          <w:color w:val="auto"/>
        </w:rPr>
        <w:t>https://investors.materialise.com/</w:t>
      </w:r>
      <w:r>
        <w:rPr>
          <w:rFonts w:ascii="Times New Roman" w:cs="Times New Roman" w:eastAsia="Times New Roman" w:hAnsi="Times New Roman"/>
          <w:sz w:val="18"/>
          <w:szCs w:val="18"/>
          <w:color w:val="auto"/>
        </w:rPr>
        <w:t xml:space="preserve"> and will be updated on a weekly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340" w:hanging="332"/>
        <w:spacing w:after="0" w:line="195" w:lineRule="auto"/>
        <w:tabs>
          <w:tab w:leader="none" w:pos="34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enclosed information constitutes regulated information as defined in the Belgian Royal Decree of 14 November 2007 regarding the duties of issuers of financial instruments which have been admitted for trading on a regulated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5497195</wp:posOffset>
            </wp:positionH>
            <wp:positionV relativeFrom="page">
              <wp:posOffset>586105</wp:posOffset>
            </wp:positionV>
            <wp:extent cx="1842770" cy="711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842770" cy="71120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Materialise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2026-06-29T15:05:58Z</dcterms:created>
  <dcterms:modified xsi:type="dcterms:W3CDTF">2026-06-29T15:05:58Z</dcterms:modified>
</cp:coreProperties>
</file>