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168275</wp:posOffset>
            </wp:positionV>
            <wp:extent cx="1894205"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420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206" w:lineRule="exact"/>
        <w:rPr>
          <w:sz w:val="20"/>
          <w:szCs w:val="20"/>
          <w:color w:val="auto"/>
        </w:rPr>
      </w:pPr>
    </w:p>
    <w:p>
      <w:pPr>
        <w:spacing w:after="0"/>
        <w:tabs>
          <w:tab w:leader="none" w:pos="7860" w:val="left"/>
        </w:tabs>
        <w:rPr>
          <w:sz w:val="20"/>
          <w:szCs w:val="20"/>
          <w:color w:val="auto"/>
        </w:rPr>
      </w:pPr>
      <w:r>
        <w:rPr>
          <w:rFonts w:ascii="Times New Roman" w:cs="Times New Roman" w:eastAsia="Times New Roman" w:hAnsi="Times New Roman"/>
          <w:sz w:val="18"/>
          <w:szCs w:val="18"/>
          <w:b w:val="1"/>
          <w:bCs w:val="1"/>
          <w:color w:val="auto"/>
        </w:rPr>
        <w:t>Leuven – 4 May 2026 – 22h00 CET</w:t>
      </w:r>
      <w:r>
        <w:rPr>
          <w:sz w:val="20"/>
          <w:szCs w:val="20"/>
          <w:color w:val="auto"/>
        </w:rPr>
        <w:tab/>
      </w:r>
      <w:r>
        <w:rPr>
          <w:rFonts w:ascii="Times New Roman" w:cs="Times New Roman" w:eastAsia="Times New Roman" w:hAnsi="Times New Roman"/>
          <w:sz w:val="17"/>
          <w:szCs w:val="17"/>
          <w:b w:val="1"/>
          <w:bCs w:val="1"/>
          <w:color w:val="auto"/>
        </w:rPr>
        <w:t>Regulated information</w:t>
      </w:r>
      <w:r>
        <w:rPr>
          <w:rFonts w:ascii="Times New Roman" w:cs="Times New Roman" w:eastAsia="Times New Roman" w:hAnsi="Times New Roman"/>
          <w:sz w:val="28"/>
          <w:szCs w:val="28"/>
          <w:b w:val="1"/>
          <w:bCs w:val="1"/>
          <w:color w:val="auto"/>
          <w:vertAlign w:val="superscript"/>
        </w:rPr>
        <w:t>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 May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27,493 Materialise shares in the period from 27 April 2026 up to and including 1 May 2026. The shares were repurchased at an average price of 4.54 EUR per share for a total consideration of 124,826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repurchase</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price (EUR)</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27-Apr-2026</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25,079</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29,466</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28-Apr-2026</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10,111</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46,041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53,775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29-Apr-2026</w:t>
            </w:r>
          </w:p>
        </w:tc>
        <w:tc>
          <w:tcPr>
            <w:tcW w:w="1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7,169</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32,168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37,656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30-Apr-2026</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4,698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21,538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r>
      <w:tr>
        <w:trPr>
          <w:trHeight w:val="229"/>
        </w:trPr>
        <w:tc>
          <w:tcPr>
            <w:tcW w:w="3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1-May-2026</w:t>
            </w:r>
          </w:p>
        </w:tc>
        <w:tc>
          <w:tcPr>
            <w:tcW w:w="1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of the week</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27,493</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124,826</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146,101</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629,080 shares for a total amount of 2,832,788 EUR (3,335,311 USD) under the share buy-back program. This corresponds to 1.1%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629,080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5445760</wp:posOffset>
            </wp:positionH>
            <wp:positionV relativeFrom="page">
              <wp:posOffset>586105</wp:posOffset>
            </wp:positionV>
            <wp:extent cx="1894205" cy="737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9420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2026-05-04T15:10:26Z</dcterms:created>
  <dcterms:modified xsi:type="dcterms:W3CDTF">2026-05-04T15:10:26Z</dcterms:modified>
</cp:coreProperties>
</file>