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6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167640</wp:posOffset>
            </wp:positionV>
            <wp:extent cx="184277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277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Leuven – 26 May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26 May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50,627 Materialise shares in the period from 18 May 2026 up to and including 22 May 2026. The shares were repurchased at an average price of 4.85 EUR per share for a total consideration of 245,759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50,627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6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23"/>
        </w:trPr>
        <w:tc>
          <w:tcPr>
            <w:tcW w:w="33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18-May-2026</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3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101,951</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118,752</w:t>
            </w: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6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19-May-2026</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12,589</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60,456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70,250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36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20-May-2026</w:t>
            </w:r>
          </w:p>
        </w:tc>
        <w:tc>
          <w:tcPr>
            <w:tcW w:w="1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6,060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29,375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36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21-May-2026</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10,348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50,939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36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22-May-2026</w:t>
            </w:r>
          </w:p>
        </w:tc>
        <w:tc>
          <w:tcPr>
            <w:tcW w:w="1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3,038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r>
      <w:tr>
        <w:trPr>
          <w:trHeight w:val="238"/>
        </w:trPr>
        <w:tc>
          <w:tcPr>
            <w:tcW w:w="36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Total of the week</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50,627</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245,759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285,684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799,416 shares for a total amount of 3,645,185 EUR (4,285,431 USD) under the share buy-back program. This corresponds to 1.4%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799,416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5471795</wp:posOffset>
            </wp:positionH>
            <wp:positionV relativeFrom="page">
              <wp:posOffset>586105</wp:posOffset>
            </wp:positionV>
            <wp:extent cx="1843405" cy="711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434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2026-05-26T15:12:15Z</dcterms:created>
  <dcterms:modified xsi:type="dcterms:W3CDTF">2026-05-26T15:12:15Z</dcterms:modified>
</cp:coreProperties>
</file>